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B2" w:rsidRPr="006F35B2" w:rsidRDefault="006F35B2" w:rsidP="006F35B2">
      <w:pPr>
        <w:widowControl/>
        <w:suppressAutoHyphens w:val="0"/>
        <w:overflowPunct/>
        <w:spacing w:after="200" w:line="276" w:lineRule="auto"/>
        <w:jc w:val="center"/>
        <w:rPr>
          <w:rFonts w:ascii="Cambria" w:eastAsia="Calibri" w:hAnsi="Cambria" w:cs="Times New Roman"/>
          <w:b/>
          <w:kern w:val="0"/>
          <w:sz w:val="32"/>
          <w:szCs w:val="32"/>
          <w:u w:val="single"/>
          <w:lang w:eastAsia="en-US" w:bidi="ar-SA"/>
        </w:rPr>
      </w:pPr>
      <w:r w:rsidRPr="006F35B2">
        <w:rPr>
          <w:rFonts w:ascii="Cambria" w:eastAsia="Calibri" w:hAnsi="Cambria" w:cs="Times New Roman"/>
          <w:b/>
          <w:kern w:val="0"/>
          <w:sz w:val="32"/>
          <w:szCs w:val="32"/>
          <w:u w:val="single"/>
          <w:lang w:eastAsia="en-US" w:bidi="ar-SA"/>
        </w:rPr>
        <w:t>Expediente N° 110/2020</w:t>
      </w:r>
    </w:p>
    <w:p w:rsidR="006F35B2" w:rsidRPr="006F35B2" w:rsidRDefault="006F35B2" w:rsidP="006F35B2">
      <w:pPr>
        <w:widowControl/>
        <w:overflowPunct/>
        <w:spacing w:after="200"/>
        <w:jc w:val="center"/>
        <w:rPr>
          <w:rFonts w:ascii="Arial" w:eastAsia="Arial" w:hAnsi="Arial" w:cs="Arial"/>
          <w:b/>
          <w:kern w:val="0"/>
          <w:lang w:val="es-ES" w:eastAsia="ar-SA" w:bidi="ar-SA"/>
        </w:rPr>
      </w:pPr>
      <w:r w:rsidRPr="006F35B2">
        <w:rPr>
          <w:rFonts w:ascii="Arial Narrow" w:eastAsia="Calibri" w:hAnsi="Arial Narrow" w:cs="Times New Roman"/>
          <w:kern w:val="0"/>
          <w:sz w:val="32"/>
          <w:szCs w:val="32"/>
          <w:lang w:eastAsia="en-US" w:bidi="ar-SA"/>
        </w:rPr>
        <w:t>PROYECTO DE RESOLUCIÓN</w:t>
      </w:r>
      <w:r w:rsidRPr="006F35B2">
        <w:rPr>
          <w:rFonts w:ascii="Arial Narrow" w:eastAsia="Calibri" w:hAnsi="Arial Narrow" w:cs="Times New Roman"/>
          <w:kern w:val="0"/>
          <w:sz w:val="32"/>
          <w:szCs w:val="32"/>
          <w:lang w:eastAsia="en-US" w:bidi="ar-SA"/>
        </w:rPr>
        <w:pict>
          <v:rect id="_x0000_i1025" style="width:467.75pt;height:1.5pt" o:hralign="center" o:hrstd="t" o:hr="t" fillcolor="#a0a0a0" stroked="f"/>
        </w:pict>
      </w:r>
    </w:p>
    <w:p w:rsidR="006F35B2" w:rsidRPr="006F35B2" w:rsidRDefault="006F35B2" w:rsidP="00BD0A33">
      <w:pPr>
        <w:rPr>
          <w:rFonts w:ascii="Arial" w:eastAsia="Arial" w:hAnsi="Arial" w:cs="Arial"/>
          <w:b/>
          <w:sz w:val="28"/>
          <w:szCs w:val="28"/>
          <w:lang w:val="es-ES"/>
        </w:rPr>
      </w:pPr>
    </w:p>
    <w:p w:rsidR="00BD0A33" w:rsidRDefault="00BD0A33" w:rsidP="00BD0A33">
      <w:pPr>
        <w:rPr>
          <w:rFonts w:ascii="Arial" w:eastAsia="Arial" w:hAnsi="Arial" w:cs="Arial"/>
          <w:b/>
          <w:sz w:val="28"/>
          <w:szCs w:val="28"/>
        </w:rPr>
      </w:pPr>
      <w:r>
        <w:rPr>
          <w:rFonts w:ascii="Arial" w:eastAsia="Arial" w:hAnsi="Arial" w:cs="Arial"/>
          <w:b/>
          <w:sz w:val="28"/>
          <w:szCs w:val="28"/>
        </w:rPr>
        <w:t>Honorable Concejo Deliberante</w:t>
      </w:r>
    </w:p>
    <w:p w:rsidR="00BD0A33" w:rsidRDefault="00BD0A33" w:rsidP="00BD0A33">
      <w:pPr>
        <w:ind w:hanging="2"/>
        <w:rPr>
          <w:rFonts w:ascii="Arial" w:eastAsia="Arial" w:hAnsi="Arial" w:cs="Arial"/>
          <w:b/>
          <w:sz w:val="28"/>
          <w:szCs w:val="28"/>
        </w:rPr>
      </w:pPr>
      <w:r>
        <w:rPr>
          <w:rFonts w:ascii="Arial" w:eastAsia="Arial" w:hAnsi="Arial" w:cs="Arial"/>
          <w:b/>
          <w:sz w:val="28"/>
          <w:szCs w:val="28"/>
        </w:rPr>
        <w:t>25 de Mayo, Bs. As.</w:t>
      </w:r>
    </w:p>
    <w:p w:rsidR="00BD0A33" w:rsidRDefault="00BD0A33" w:rsidP="00BD0A33">
      <w:pPr>
        <w:ind w:hanging="2"/>
        <w:rPr>
          <w:rFonts w:ascii="Arial" w:eastAsia="Arial" w:hAnsi="Arial" w:cs="Arial"/>
          <w:b/>
          <w:sz w:val="28"/>
          <w:szCs w:val="28"/>
        </w:rPr>
      </w:pPr>
      <w:r>
        <w:rPr>
          <w:rFonts w:ascii="Arial" w:eastAsia="Arial" w:hAnsi="Arial" w:cs="Arial"/>
          <w:b/>
          <w:sz w:val="28"/>
          <w:szCs w:val="28"/>
        </w:rPr>
        <w:t>Bloque Cambiemos y Juntos por el Cambio</w:t>
      </w:r>
    </w:p>
    <w:p w:rsidR="00BD0A33" w:rsidRDefault="00BD0A33" w:rsidP="00BD0A33">
      <w:pPr>
        <w:ind w:hanging="2"/>
        <w:rPr>
          <w:rFonts w:ascii="Arial" w:eastAsia="Arial" w:hAnsi="Arial" w:cs="Arial"/>
          <w:b/>
          <w:sz w:val="28"/>
          <w:szCs w:val="28"/>
        </w:rPr>
      </w:pPr>
    </w:p>
    <w:p w:rsidR="00BD0A33" w:rsidRDefault="00BD0A33" w:rsidP="00BD0A33">
      <w:pPr>
        <w:ind w:hanging="2"/>
        <w:rPr>
          <w:rFonts w:ascii="Arial" w:eastAsia="Arial" w:hAnsi="Arial" w:cs="Arial"/>
          <w:b/>
          <w:sz w:val="28"/>
          <w:szCs w:val="28"/>
        </w:rPr>
      </w:pPr>
    </w:p>
    <w:p w:rsidR="00BD0A33" w:rsidRDefault="00BD0A33" w:rsidP="00BD0A33">
      <w:pPr>
        <w:ind w:hanging="2"/>
        <w:jc w:val="right"/>
        <w:rPr>
          <w:rFonts w:ascii="Arial" w:eastAsia="Arial" w:hAnsi="Arial" w:cs="Arial"/>
          <w:sz w:val="28"/>
          <w:szCs w:val="28"/>
        </w:rPr>
      </w:pPr>
      <w:r>
        <w:rPr>
          <w:rFonts w:ascii="Arial" w:eastAsia="Arial" w:hAnsi="Arial" w:cs="Arial"/>
          <w:sz w:val="28"/>
          <w:szCs w:val="28"/>
        </w:rPr>
        <w:t>09 de octubre de 2020.-</w:t>
      </w:r>
    </w:p>
    <w:p w:rsidR="00BD0A33" w:rsidRDefault="00BD0A33" w:rsidP="00BD0A33">
      <w:pPr>
        <w:pStyle w:val="Cuerpo"/>
        <w:jc w:val="right"/>
        <w:rPr>
          <w:rFonts w:ascii="Arial" w:hAnsi="Arial" w:cs="Arial"/>
          <w:sz w:val="28"/>
          <w:szCs w:val="28"/>
        </w:rPr>
      </w:pPr>
    </w:p>
    <w:p w:rsidR="00BD0A33" w:rsidRDefault="00BD0A33" w:rsidP="00BD0A33">
      <w:pPr>
        <w:pStyle w:val="Cuerpo"/>
        <w:rPr>
          <w:rFonts w:ascii="Arial" w:hAnsi="Arial" w:cs="Arial"/>
          <w:sz w:val="28"/>
          <w:szCs w:val="28"/>
        </w:rPr>
      </w:pPr>
    </w:p>
    <w:p w:rsidR="00BD0A33" w:rsidRDefault="00BD0A33" w:rsidP="00BD0A33">
      <w:pPr>
        <w:jc w:val="center"/>
        <w:rPr>
          <w:rFonts w:ascii="Arial" w:hAnsi="Arial" w:cs="Arial"/>
          <w:b/>
          <w:sz w:val="28"/>
          <w:szCs w:val="28"/>
        </w:rPr>
      </w:pPr>
      <w:r>
        <w:rPr>
          <w:rFonts w:ascii="Arial" w:hAnsi="Arial" w:cs="Arial"/>
          <w:b/>
          <w:sz w:val="28"/>
          <w:szCs w:val="28"/>
          <w:u w:val="single"/>
        </w:rPr>
        <w:t xml:space="preserve">PROYECTO DE RESOLUCIÓN </w:t>
      </w:r>
    </w:p>
    <w:p w:rsidR="00B3579F" w:rsidRDefault="00B3579F">
      <w:pPr>
        <w:shd w:val="clear" w:color="auto" w:fill="FFFFFF"/>
        <w:ind w:left="1145"/>
        <w:rPr>
          <w:sz w:val="32"/>
          <w:szCs w:val="32"/>
        </w:rPr>
      </w:pPr>
    </w:p>
    <w:p w:rsidR="00B3579F" w:rsidRPr="00BD0A33" w:rsidRDefault="00276DC9">
      <w:pPr>
        <w:shd w:val="clear" w:color="auto" w:fill="FFFFFF"/>
        <w:rPr>
          <w:sz w:val="32"/>
          <w:szCs w:val="32"/>
        </w:rPr>
      </w:pPr>
      <w:r>
        <w:rPr>
          <w:sz w:val="32"/>
          <w:szCs w:val="32"/>
        </w:rPr>
        <w:tab/>
        <w:t>Ref.: Medios de pago para tasas, derechos y contribuciones</w:t>
      </w:r>
    </w:p>
    <w:p w:rsidR="00B3579F" w:rsidRDefault="00B3579F">
      <w:pPr>
        <w:shd w:val="clear" w:color="auto" w:fill="FFFFFF"/>
        <w:rPr>
          <w:sz w:val="28"/>
          <w:szCs w:val="28"/>
        </w:rPr>
      </w:pPr>
    </w:p>
    <w:p w:rsidR="00B3579F" w:rsidRDefault="00276DC9">
      <w:pPr>
        <w:shd w:val="clear" w:color="auto" w:fill="FFFFFF"/>
        <w:rPr>
          <w:b/>
          <w:bCs/>
          <w:sz w:val="28"/>
          <w:szCs w:val="28"/>
        </w:rPr>
      </w:pPr>
      <w:r>
        <w:rPr>
          <w:b/>
          <w:bCs/>
          <w:sz w:val="28"/>
          <w:szCs w:val="28"/>
        </w:rPr>
        <w:t xml:space="preserve">Visto: </w:t>
      </w:r>
      <w:r>
        <w:rPr>
          <w:sz w:val="28"/>
          <w:szCs w:val="28"/>
        </w:rPr>
        <w:t>la normativa vigente que obliga a empresas particulares a ofrecer medios de pago electrónico y la carencia de esos medios en las ventanillas de cobro del municipio,</w:t>
      </w:r>
      <w:r w:rsidR="00BD0A33">
        <w:rPr>
          <w:sz w:val="28"/>
          <w:szCs w:val="28"/>
        </w:rPr>
        <w:t xml:space="preserve"> y </w:t>
      </w:r>
    </w:p>
    <w:p w:rsidR="00B3579F" w:rsidRDefault="00B3579F">
      <w:pPr>
        <w:shd w:val="clear" w:color="auto" w:fill="FFFFFF"/>
        <w:rPr>
          <w:b/>
          <w:bCs/>
          <w:sz w:val="28"/>
          <w:szCs w:val="28"/>
        </w:rPr>
      </w:pPr>
    </w:p>
    <w:p w:rsidR="00B3579F" w:rsidRDefault="00BD0A33">
      <w:pPr>
        <w:shd w:val="clear" w:color="auto" w:fill="FFFFFF"/>
        <w:rPr>
          <w:sz w:val="28"/>
          <w:szCs w:val="28"/>
        </w:rPr>
      </w:pPr>
      <w:r>
        <w:rPr>
          <w:b/>
          <w:bCs/>
          <w:sz w:val="28"/>
          <w:szCs w:val="28"/>
        </w:rPr>
        <w:t>C</w:t>
      </w:r>
      <w:r w:rsidR="00276DC9">
        <w:rPr>
          <w:b/>
          <w:bCs/>
          <w:sz w:val="28"/>
          <w:szCs w:val="28"/>
        </w:rPr>
        <w:t>onsiderando:</w:t>
      </w:r>
      <w:r w:rsidR="00276DC9">
        <w:rPr>
          <w:sz w:val="28"/>
          <w:szCs w:val="28"/>
        </w:rPr>
        <w:t xml:space="preserve"> que la difusión de los medios electrónicos para las transacciones monetarias y la alta bancarización del pago de salarios conlleva la utilización de herramientas como las tarjetas de débito y crédito, la cuenta DNI y otras billeteras electrónicas, el código QR, el home </w:t>
      </w:r>
      <w:proofErr w:type="spellStart"/>
      <w:r w:rsidR="00276DC9">
        <w:rPr>
          <w:sz w:val="28"/>
          <w:szCs w:val="28"/>
        </w:rPr>
        <w:t>b</w:t>
      </w:r>
      <w:r>
        <w:rPr>
          <w:sz w:val="28"/>
          <w:szCs w:val="28"/>
        </w:rPr>
        <w:t>anking</w:t>
      </w:r>
      <w:proofErr w:type="spellEnd"/>
      <w:r>
        <w:rPr>
          <w:sz w:val="28"/>
          <w:szCs w:val="28"/>
        </w:rPr>
        <w:t xml:space="preserve"> y otros medios digitales;</w:t>
      </w:r>
    </w:p>
    <w:p w:rsidR="00BD0A33" w:rsidRDefault="00BD0A33">
      <w:pPr>
        <w:shd w:val="clear" w:color="auto" w:fill="FFFFFF"/>
        <w:rPr>
          <w:b/>
          <w:bCs/>
          <w:sz w:val="28"/>
          <w:szCs w:val="28"/>
        </w:rPr>
      </w:pPr>
    </w:p>
    <w:p w:rsidR="00B3579F" w:rsidRDefault="00276DC9">
      <w:pPr>
        <w:shd w:val="clear" w:color="auto" w:fill="FFFFFF"/>
        <w:rPr>
          <w:sz w:val="28"/>
          <w:szCs w:val="28"/>
        </w:rPr>
      </w:pPr>
      <w:r>
        <w:rPr>
          <w:sz w:val="28"/>
          <w:szCs w:val="28"/>
        </w:rPr>
        <w:t>Que muchos contribuyentes del Municipio de 25 de Mayo utilizan estos medios electrónicos y los ven como alternativas que le simplifican la disposició</w:t>
      </w:r>
      <w:r w:rsidR="00BD0A33">
        <w:rPr>
          <w:sz w:val="28"/>
          <w:szCs w:val="28"/>
        </w:rPr>
        <w:t>n de su dinero para sus gastos;</w:t>
      </w:r>
    </w:p>
    <w:p w:rsidR="00BD0A33" w:rsidRDefault="00BD0A33">
      <w:pPr>
        <w:shd w:val="clear" w:color="auto" w:fill="FFFFFF"/>
        <w:rPr>
          <w:sz w:val="28"/>
          <w:szCs w:val="28"/>
        </w:rPr>
      </w:pPr>
    </w:p>
    <w:p w:rsidR="00B3579F" w:rsidRDefault="00276DC9">
      <w:pPr>
        <w:shd w:val="clear" w:color="auto" w:fill="FFFFFF"/>
        <w:rPr>
          <w:sz w:val="28"/>
          <w:szCs w:val="28"/>
        </w:rPr>
      </w:pPr>
      <w:r>
        <w:rPr>
          <w:sz w:val="28"/>
          <w:szCs w:val="28"/>
        </w:rPr>
        <w:t>Que numerosos vecinos eligen pagar sus obligaciones municipales (tasas, derechos…) por ventanillas municipales y no cuentan con la alternativa de utilizar tarjetas ni otros medios actualizados de</w:t>
      </w:r>
      <w:r w:rsidR="00BD0A33">
        <w:rPr>
          <w:sz w:val="28"/>
          <w:szCs w:val="28"/>
        </w:rPr>
        <w:t xml:space="preserve"> pago;</w:t>
      </w:r>
    </w:p>
    <w:p w:rsidR="00BD0A33" w:rsidRDefault="00BD0A33">
      <w:pPr>
        <w:shd w:val="clear" w:color="auto" w:fill="FFFFFF"/>
        <w:rPr>
          <w:b/>
          <w:bCs/>
          <w:sz w:val="28"/>
          <w:szCs w:val="28"/>
        </w:rPr>
      </w:pPr>
    </w:p>
    <w:p w:rsidR="00B3579F" w:rsidRDefault="00276DC9">
      <w:pPr>
        <w:shd w:val="clear" w:color="auto" w:fill="FFFFFF"/>
        <w:rPr>
          <w:sz w:val="28"/>
          <w:szCs w:val="28"/>
        </w:rPr>
      </w:pPr>
      <w:r>
        <w:rPr>
          <w:sz w:val="28"/>
          <w:szCs w:val="28"/>
        </w:rPr>
        <w:t>Que la actual administración provincial, por intermedio del Banco de la Provincia de Buenos Aires, pro</w:t>
      </w:r>
      <w:r w:rsidR="00BD0A33">
        <w:rPr>
          <w:sz w:val="28"/>
          <w:szCs w:val="28"/>
        </w:rPr>
        <w:t>mociona el uso de la Cuenta DNI;</w:t>
      </w:r>
    </w:p>
    <w:p w:rsidR="00BD0A33" w:rsidRDefault="00BD0A33">
      <w:pPr>
        <w:shd w:val="clear" w:color="auto" w:fill="FFFFFF"/>
        <w:rPr>
          <w:b/>
          <w:bCs/>
          <w:sz w:val="28"/>
          <w:szCs w:val="28"/>
        </w:rPr>
      </w:pPr>
    </w:p>
    <w:p w:rsidR="00B3579F" w:rsidRDefault="00276DC9">
      <w:pPr>
        <w:shd w:val="clear" w:color="auto" w:fill="FFFFFF"/>
        <w:rPr>
          <w:sz w:val="28"/>
          <w:szCs w:val="28"/>
        </w:rPr>
      </w:pPr>
      <w:r>
        <w:rPr>
          <w:sz w:val="28"/>
          <w:szCs w:val="28"/>
        </w:rPr>
        <w:t>Que el estado, en sus diferentes niveles, no puede sustraerse a los criterios que adopta para sus administrados, por lo que es de sentido común que, toda vez que se le exige a un particular brindar alternativas de pago, el estado municipal debe hacer el esfuerzo para equiparar su servic</w:t>
      </w:r>
      <w:r w:rsidR="00BD0A33">
        <w:rPr>
          <w:sz w:val="28"/>
          <w:szCs w:val="28"/>
        </w:rPr>
        <w:t>io al que se plantea como norma;</w:t>
      </w:r>
    </w:p>
    <w:p w:rsidR="00BD0A33" w:rsidRDefault="00BD0A33">
      <w:pPr>
        <w:shd w:val="clear" w:color="auto" w:fill="FFFFFF"/>
        <w:rPr>
          <w:sz w:val="28"/>
          <w:szCs w:val="28"/>
        </w:rPr>
      </w:pPr>
    </w:p>
    <w:p w:rsidR="00B3579F" w:rsidRDefault="00276DC9">
      <w:pPr>
        <w:shd w:val="clear" w:color="auto" w:fill="FFFFFF"/>
        <w:rPr>
          <w:sz w:val="28"/>
          <w:szCs w:val="28"/>
        </w:rPr>
      </w:pPr>
      <w:r>
        <w:rPr>
          <w:sz w:val="28"/>
          <w:szCs w:val="28"/>
        </w:rPr>
        <w:t>Que esto redundaría en beneficios para el contribuyente y constituye un pequeño aliciente en una cuestión que nunca resultó sencilla c</w:t>
      </w:r>
      <w:r w:rsidR="00BD0A33">
        <w:rPr>
          <w:sz w:val="28"/>
          <w:szCs w:val="28"/>
        </w:rPr>
        <w:t>omo es la de recaudar impuestos;</w:t>
      </w:r>
    </w:p>
    <w:p w:rsidR="00BD0A33" w:rsidRDefault="00BD0A33">
      <w:pPr>
        <w:shd w:val="clear" w:color="auto" w:fill="FFFFFF"/>
        <w:rPr>
          <w:sz w:val="28"/>
          <w:szCs w:val="28"/>
        </w:rPr>
      </w:pPr>
    </w:p>
    <w:p w:rsidR="00B3579F" w:rsidRDefault="00276DC9">
      <w:pPr>
        <w:shd w:val="clear" w:color="auto" w:fill="FFFFFF"/>
        <w:rPr>
          <w:sz w:val="28"/>
          <w:szCs w:val="28"/>
        </w:rPr>
      </w:pPr>
      <w:r>
        <w:rPr>
          <w:sz w:val="28"/>
          <w:szCs w:val="28"/>
        </w:rPr>
        <w:t>Que la medida difícilmente importe grandes inversiones del estado</w:t>
      </w:r>
      <w:r w:rsidR="00BD0A33">
        <w:rPr>
          <w:sz w:val="28"/>
          <w:szCs w:val="28"/>
        </w:rPr>
        <w:t xml:space="preserve"> municipal para llevarse a cabo;</w:t>
      </w:r>
    </w:p>
    <w:p w:rsidR="00B3579F" w:rsidRDefault="00B3579F">
      <w:pPr>
        <w:shd w:val="clear" w:color="auto" w:fill="FFFFFF"/>
        <w:rPr>
          <w:sz w:val="28"/>
          <w:szCs w:val="28"/>
        </w:rPr>
      </w:pPr>
    </w:p>
    <w:p w:rsidR="00B3579F" w:rsidRDefault="00B3579F">
      <w:pPr>
        <w:shd w:val="clear" w:color="auto" w:fill="FFFFFF"/>
        <w:rPr>
          <w:b/>
          <w:bCs/>
          <w:sz w:val="28"/>
          <w:szCs w:val="28"/>
        </w:rPr>
      </w:pPr>
    </w:p>
    <w:p w:rsidR="00B3579F" w:rsidRDefault="00276DC9">
      <w:pPr>
        <w:shd w:val="clear" w:color="auto" w:fill="FFFFFF"/>
        <w:rPr>
          <w:b/>
          <w:bCs/>
          <w:sz w:val="28"/>
          <w:szCs w:val="28"/>
        </w:rPr>
      </w:pPr>
      <w:proofErr w:type="gramStart"/>
      <w:r>
        <w:rPr>
          <w:b/>
          <w:bCs/>
          <w:sz w:val="28"/>
          <w:szCs w:val="28"/>
        </w:rPr>
        <w:t>por</w:t>
      </w:r>
      <w:proofErr w:type="gramEnd"/>
      <w:r>
        <w:rPr>
          <w:b/>
          <w:bCs/>
          <w:sz w:val="28"/>
          <w:szCs w:val="28"/>
        </w:rPr>
        <w:t xml:space="preserve"> todo ello </w:t>
      </w:r>
      <w:r>
        <w:rPr>
          <w:sz w:val="28"/>
          <w:szCs w:val="28"/>
        </w:rPr>
        <w:t>el Honorable Concejo Deliberante de 25 de Mayo, en uso de sus atribuciones, sanc</w:t>
      </w:r>
      <w:r w:rsidR="00BD0A33">
        <w:rPr>
          <w:sz w:val="28"/>
          <w:szCs w:val="28"/>
        </w:rPr>
        <w:t>iona lo siguiente con fuerza de:</w:t>
      </w:r>
    </w:p>
    <w:p w:rsidR="00B3579F" w:rsidRDefault="00B3579F">
      <w:pPr>
        <w:shd w:val="clear" w:color="auto" w:fill="FFFFFF"/>
        <w:rPr>
          <w:b/>
          <w:bCs/>
          <w:sz w:val="28"/>
          <w:szCs w:val="28"/>
        </w:rPr>
      </w:pPr>
    </w:p>
    <w:p w:rsidR="00B3579F" w:rsidRDefault="00B3579F">
      <w:pPr>
        <w:shd w:val="clear" w:color="auto" w:fill="FFFFFF"/>
        <w:rPr>
          <w:b/>
          <w:bCs/>
          <w:sz w:val="28"/>
          <w:szCs w:val="28"/>
        </w:rPr>
      </w:pPr>
    </w:p>
    <w:p w:rsidR="00B3579F" w:rsidRDefault="00BD0A33">
      <w:pPr>
        <w:shd w:val="clear" w:color="auto" w:fill="FFFFFF"/>
        <w:jc w:val="center"/>
        <w:rPr>
          <w:b/>
          <w:bCs/>
          <w:sz w:val="28"/>
          <w:szCs w:val="28"/>
        </w:rPr>
      </w:pPr>
      <w:r>
        <w:rPr>
          <w:b/>
          <w:bCs/>
          <w:sz w:val="28"/>
          <w:szCs w:val="28"/>
        </w:rPr>
        <w:t>RESOLUCION</w:t>
      </w:r>
    </w:p>
    <w:p w:rsidR="00B3579F" w:rsidRDefault="00B3579F">
      <w:pPr>
        <w:shd w:val="clear" w:color="auto" w:fill="FFFFFF"/>
        <w:rPr>
          <w:b/>
          <w:bCs/>
          <w:sz w:val="28"/>
          <w:szCs w:val="28"/>
        </w:rPr>
      </w:pPr>
    </w:p>
    <w:p w:rsidR="00B3579F" w:rsidRDefault="00276DC9">
      <w:pPr>
        <w:shd w:val="clear" w:color="auto" w:fill="FFFFFF"/>
        <w:rPr>
          <w:b/>
          <w:bCs/>
          <w:sz w:val="28"/>
          <w:szCs w:val="28"/>
          <w:u w:val="single"/>
        </w:rPr>
      </w:pPr>
      <w:r>
        <w:rPr>
          <w:b/>
          <w:bCs/>
          <w:sz w:val="28"/>
          <w:szCs w:val="28"/>
          <w:u w:val="single"/>
        </w:rPr>
        <w:t>Artículo 1º</w:t>
      </w:r>
      <w:r>
        <w:rPr>
          <w:b/>
          <w:bCs/>
          <w:sz w:val="28"/>
          <w:szCs w:val="28"/>
        </w:rPr>
        <w:t xml:space="preserve">: </w:t>
      </w:r>
      <w:r>
        <w:rPr>
          <w:sz w:val="28"/>
          <w:szCs w:val="28"/>
        </w:rPr>
        <w:t>Se solicita al Departamento Ejecutivo que implemente los mecanismos necesarios para ofrecer alternativas de cobro por medios electrónicos de pago (tarjetas, cuenta DNI), en las ventanillas que posee el municipio para cobro de tributos  municipales.</w:t>
      </w:r>
    </w:p>
    <w:p w:rsidR="00B3579F" w:rsidRDefault="00B3579F">
      <w:pPr>
        <w:shd w:val="clear" w:color="auto" w:fill="FFFFFF"/>
        <w:rPr>
          <w:b/>
          <w:bCs/>
          <w:sz w:val="28"/>
          <w:szCs w:val="28"/>
        </w:rPr>
      </w:pPr>
    </w:p>
    <w:p w:rsidR="00B3579F" w:rsidRDefault="00276DC9">
      <w:pPr>
        <w:shd w:val="clear" w:color="auto" w:fill="FFFFFF"/>
        <w:rPr>
          <w:b/>
          <w:bCs/>
          <w:sz w:val="28"/>
          <w:szCs w:val="28"/>
          <w:u w:val="single"/>
        </w:rPr>
      </w:pPr>
      <w:r>
        <w:rPr>
          <w:b/>
          <w:bCs/>
          <w:sz w:val="28"/>
          <w:szCs w:val="28"/>
          <w:u w:val="single"/>
        </w:rPr>
        <w:t>Artículo 2º</w:t>
      </w:r>
      <w:r>
        <w:rPr>
          <w:b/>
          <w:bCs/>
          <w:sz w:val="28"/>
          <w:szCs w:val="28"/>
        </w:rPr>
        <w:t xml:space="preserve">: </w:t>
      </w:r>
      <w:r>
        <w:rPr>
          <w:sz w:val="28"/>
          <w:szCs w:val="28"/>
        </w:rPr>
        <w:t>Los vistos y considerandos forman parte de la presente Resolución.</w:t>
      </w:r>
    </w:p>
    <w:p w:rsidR="00B3579F" w:rsidRDefault="00B3579F">
      <w:pPr>
        <w:shd w:val="clear" w:color="auto" w:fill="FFFFFF"/>
        <w:rPr>
          <w:b/>
          <w:bCs/>
          <w:sz w:val="28"/>
          <w:szCs w:val="28"/>
        </w:rPr>
      </w:pPr>
    </w:p>
    <w:p w:rsidR="00BD0A33" w:rsidRDefault="00276DC9">
      <w:pPr>
        <w:shd w:val="clear" w:color="auto" w:fill="FFFFFF"/>
        <w:rPr>
          <w:sz w:val="28"/>
          <w:szCs w:val="28"/>
        </w:rPr>
      </w:pPr>
      <w:r>
        <w:rPr>
          <w:b/>
          <w:bCs/>
          <w:sz w:val="28"/>
          <w:szCs w:val="28"/>
          <w:u w:val="single"/>
        </w:rPr>
        <w:t>Artículo º</w:t>
      </w:r>
      <w:r>
        <w:rPr>
          <w:b/>
          <w:bCs/>
          <w:sz w:val="28"/>
          <w:szCs w:val="28"/>
        </w:rPr>
        <w:t xml:space="preserve">: </w:t>
      </w:r>
      <w:r>
        <w:rPr>
          <w:sz w:val="28"/>
          <w:szCs w:val="28"/>
        </w:rPr>
        <w:t>Dé forma.</w:t>
      </w:r>
    </w:p>
    <w:p w:rsidR="00BD0A33" w:rsidRDefault="00BD0A33">
      <w:pPr>
        <w:shd w:val="clear" w:color="auto" w:fill="FFFFFF"/>
        <w:rPr>
          <w:sz w:val="28"/>
          <w:szCs w:val="28"/>
        </w:rPr>
      </w:pPr>
    </w:p>
    <w:p w:rsidR="006F35B2" w:rsidRPr="006F35B2" w:rsidRDefault="006F35B2" w:rsidP="006F35B2">
      <w:pPr>
        <w:widowControl/>
        <w:pBdr>
          <w:between w:val="nil"/>
          <w:bar w:val="nil"/>
        </w:pBdr>
        <w:suppressAutoHyphens w:val="0"/>
        <w:overflowPunct/>
        <w:jc w:val="both"/>
        <w:rPr>
          <w:rFonts w:ascii="Helvetica Neue" w:eastAsia="Arial Unicode MS" w:hAnsi="Helvetica Neue" w:cs="Arial Unicode MS" w:hint="eastAsia"/>
          <w:color w:val="000000"/>
          <w:kern w:val="0"/>
          <w:sz w:val="22"/>
          <w:szCs w:val="22"/>
          <w:bdr w:val="nil"/>
          <w:lang w:eastAsia="es-AR" w:bidi="ar-SA"/>
        </w:rPr>
      </w:pPr>
      <w:r w:rsidRPr="006F35B2">
        <w:rPr>
          <w:rFonts w:ascii="Arial" w:eastAsia="Arial Unicode MS" w:hAnsi="Arial" w:cs="Arial"/>
          <w:color w:val="000000"/>
          <w:kern w:val="0"/>
          <w:bdr w:val="nil"/>
          <w:lang w:val="es-ES_tradnl" w:eastAsia="es-AR" w:bidi="ar-SA"/>
        </w:rPr>
        <w:t>Firman los Concejales García, Bucci, Piñero, Landaburu, Bernardo, Fernández, Vega y Bu</w:t>
      </w:r>
      <w:r w:rsidRPr="006F35B2">
        <w:rPr>
          <w:rFonts w:ascii="Arial" w:eastAsia="Arial Unicode MS" w:hAnsi="Arial" w:cs="Arial"/>
          <w:color w:val="000000"/>
          <w:kern w:val="0"/>
          <w:bdr w:val="nil"/>
          <w:lang w:val="es-ES_tradnl" w:eastAsia="es-AR" w:bidi="ar-SA"/>
        </w:rPr>
        <w:t>r</w:t>
      </w:r>
      <w:r w:rsidRPr="006F35B2">
        <w:rPr>
          <w:rFonts w:ascii="Arial" w:eastAsia="Arial Unicode MS" w:hAnsi="Arial" w:cs="Arial"/>
          <w:color w:val="000000"/>
          <w:kern w:val="0"/>
          <w:bdr w:val="nil"/>
          <w:lang w:val="es-ES_tradnl" w:eastAsia="es-AR" w:bidi="ar-SA"/>
        </w:rPr>
        <w:t>gos</w:t>
      </w:r>
    </w:p>
    <w:p w:rsidR="00BD0A33" w:rsidRDefault="00BD0A33">
      <w:pPr>
        <w:shd w:val="clear" w:color="auto" w:fill="FFFFFF"/>
        <w:rPr>
          <w:sz w:val="28"/>
          <w:szCs w:val="28"/>
        </w:rPr>
      </w:pPr>
    </w:p>
    <w:p w:rsidR="00BD0A33" w:rsidRDefault="00BD0A33">
      <w:pPr>
        <w:shd w:val="clear" w:color="auto" w:fill="FFFFFF"/>
        <w:rPr>
          <w:sz w:val="28"/>
          <w:szCs w:val="28"/>
        </w:rPr>
      </w:pPr>
    </w:p>
    <w:p w:rsidR="00BD0A33" w:rsidRDefault="00BD0A33">
      <w:pPr>
        <w:shd w:val="clear" w:color="auto" w:fill="FFFFFF"/>
        <w:rPr>
          <w:sz w:val="28"/>
          <w:szCs w:val="28"/>
        </w:rPr>
      </w:pPr>
    </w:p>
    <w:p w:rsidR="00BD0A33" w:rsidRDefault="00BD0A33">
      <w:pPr>
        <w:shd w:val="clear" w:color="auto" w:fill="FFFFFF"/>
        <w:rPr>
          <w:sz w:val="28"/>
          <w:szCs w:val="28"/>
        </w:rPr>
      </w:pPr>
    </w:p>
    <w:p w:rsidR="00BD0A33" w:rsidRDefault="00BD0A33">
      <w:pPr>
        <w:shd w:val="clear" w:color="auto" w:fill="FFFFFF"/>
        <w:rPr>
          <w:sz w:val="28"/>
          <w:szCs w:val="28"/>
        </w:rPr>
      </w:pPr>
    </w:p>
    <w:p w:rsidR="00BD0A33" w:rsidRPr="00BD0A33" w:rsidRDefault="00BD0A33">
      <w:pPr>
        <w:shd w:val="clear" w:color="auto" w:fill="FFFFFF"/>
        <w:rPr>
          <w:sz w:val="28"/>
          <w:szCs w:val="28"/>
        </w:rPr>
      </w:pPr>
      <w:bookmarkStart w:id="0" w:name="_GoBack"/>
      <w:bookmarkEnd w:id="0"/>
    </w:p>
    <w:sectPr w:rsidR="00BD0A33" w:rsidRPr="00BD0A33" w:rsidSect="00BD0A33">
      <w:headerReference w:type="default" r:id="rId7"/>
      <w:footerReference w:type="default" r:id="rId8"/>
      <w:pgSz w:w="12240" w:h="20160" w:code="5"/>
      <w:pgMar w:top="1700" w:right="1134" w:bottom="1700" w:left="1134" w:header="1134" w:footer="113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E5" w:rsidRDefault="00100EE5">
      <w:r>
        <w:separator/>
      </w:r>
    </w:p>
  </w:endnote>
  <w:endnote w:type="continuationSeparator" w:id="0">
    <w:p w:rsidR="00100EE5" w:rsidRDefault="0010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9F" w:rsidRDefault="00276DC9">
    <w:pPr>
      <w:pStyle w:val="Piedepgina"/>
      <w:jc w:val="center"/>
      <w:rPr>
        <w:i/>
        <w:iCs/>
      </w:rPr>
    </w:pPr>
    <w:r>
      <w:rPr>
        <w:i/>
        <w:iCs/>
      </w:rPr>
      <w:fldChar w:fldCharType="begin"/>
    </w:r>
    <w:r>
      <w:rPr>
        <w:i/>
        <w:iCs/>
      </w:rPr>
      <w:instrText>PAGE</w:instrText>
    </w:r>
    <w:r>
      <w:rPr>
        <w:i/>
        <w:iCs/>
      </w:rPr>
      <w:fldChar w:fldCharType="separate"/>
    </w:r>
    <w:r w:rsidR="006F35B2">
      <w:rPr>
        <w:i/>
        <w:iCs/>
        <w:noProof/>
      </w:rPr>
      <w:t>2</w:t>
    </w:r>
    <w:r>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E5" w:rsidRDefault="00100EE5">
      <w:r>
        <w:separator/>
      </w:r>
    </w:p>
  </w:footnote>
  <w:footnote w:type="continuationSeparator" w:id="0">
    <w:p w:rsidR="00100EE5" w:rsidRDefault="00100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33" w:rsidRDefault="00BD0A33">
    <w:pPr>
      <w:pStyle w:val="Encabezado"/>
      <w:shd w:val="clear" w:color="auto" w:fill="FFFFFF"/>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579F"/>
    <w:rsid w:val="00100EE5"/>
    <w:rsid w:val="00276DC9"/>
    <w:rsid w:val="006F35B2"/>
    <w:rsid w:val="00B3579F"/>
    <w:rsid w:val="00BD0A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2"/>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Cuerpo">
    <w:name w:val="Cuerpo"/>
    <w:rsid w:val="00BD0A33"/>
    <w:pPr>
      <w:suppressAutoHyphens w:val="0"/>
    </w:pPr>
    <w:rPr>
      <w:rFonts w:ascii="Helvetica Neue" w:eastAsia="Arial Unicode MS" w:hAnsi="Helvetica Neue" w:cs="Arial Unicode MS"/>
      <w:color w:val="000000"/>
      <w:kern w:val="0"/>
      <w:sz w:val="22"/>
      <w:szCs w:val="22"/>
      <w:lang w:val="es-ES_tradnl" w:eastAsia="es-AR" w:bidi="ar-SA"/>
    </w:rPr>
  </w:style>
  <w:style w:type="paragraph" w:customStyle="1" w:styleId="xmsonormal">
    <w:name w:val="x_msonormal"/>
    <w:basedOn w:val="Normal"/>
    <w:rsid w:val="00BD0A33"/>
    <w:pPr>
      <w:widowControl/>
      <w:overflowPunct/>
      <w:spacing w:before="100" w:beforeAutospacing="1" w:after="100" w:afterAutospacing="1"/>
      <w:ind w:leftChars="-1" w:left="-1" w:hangingChars="1" w:hanging="1"/>
      <w:outlineLvl w:val="0"/>
    </w:pPr>
    <w:rPr>
      <w:rFonts w:eastAsia="Times New Roman" w:cs="Calibri"/>
      <w:kern w:val="0"/>
      <w:position w:val="-1"/>
      <w:lang w:eastAsia="es-A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84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1959</TotalTime>
  <Pages>2</Pages>
  <Words>378</Words>
  <Characters>2084</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USUARIO</cp:lastModifiedBy>
  <cp:revision>7</cp:revision>
  <dcterms:created xsi:type="dcterms:W3CDTF">2020-10-06T16:27:00Z</dcterms:created>
  <dcterms:modified xsi:type="dcterms:W3CDTF">2020-10-09T16:48:00Z</dcterms:modified>
  <dc:language>es-AR</dc:language>
</cp:coreProperties>
</file>