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D17BF" w14:textId="020871AD" w:rsidR="0002721C" w:rsidRPr="0002721C" w:rsidRDefault="0002721C" w:rsidP="0002721C">
      <w:pPr>
        <w:suppressAutoHyphens/>
        <w:spacing w:after="0"/>
        <w:ind w:left="4" w:hangingChars="1" w:hanging="4"/>
        <w:jc w:val="center"/>
        <w:outlineLvl w:val="0"/>
        <w:rPr>
          <w:rFonts w:ascii="Cambria" w:hAnsi="Cambria"/>
          <w:b/>
          <w:color w:val="auto"/>
          <w:position w:val="-1"/>
          <w:sz w:val="36"/>
          <w:szCs w:val="32"/>
          <w:u w:val="single"/>
        </w:rPr>
      </w:pPr>
      <w:bookmarkStart w:id="0" w:name="_Hlk130898592"/>
      <w:r w:rsidRPr="0002721C">
        <w:rPr>
          <w:rFonts w:ascii="Cambria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02721C">
        <w:rPr>
          <w:rFonts w:ascii="Cambria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02721C">
        <w:rPr>
          <w:rFonts w:ascii="Cambria" w:hAnsi="Cambria"/>
          <w:b/>
          <w:position w:val="-1"/>
          <w:sz w:val="36"/>
          <w:szCs w:val="32"/>
          <w:u w:val="single"/>
        </w:rPr>
        <w:t xml:space="preserve"> 20</w:t>
      </w:r>
      <w:r w:rsidRPr="0002721C">
        <w:rPr>
          <w:rFonts w:ascii="Cambria" w:hAnsi="Cambria"/>
          <w:b/>
          <w:position w:val="-1"/>
          <w:sz w:val="36"/>
          <w:szCs w:val="32"/>
          <w:u w:val="single"/>
        </w:rPr>
        <w:t>5</w:t>
      </w:r>
      <w:r w:rsidRPr="0002721C">
        <w:rPr>
          <w:rFonts w:ascii="Cambria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25F4F0B3" w14:textId="77777777" w:rsidR="0002721C" w:rsidRPr="0002721C" w:rsidRDefault="0002721C" w:rsidP="0002721C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  <w:sz w:val="24"/>
        </w:rPr>
      </w:pPr>
      <w:r w:rsidRPr="0002721C">
        <w:rPr>
          <w:rFonts w:ascii="Arial Narrow" w:hAnsi="Arial Narrow"/>
          <w:position w:val="-1"/>
          <w:sz w:val="32"/>
          <w:szCs w:val="32"/>
        </w:rPr>
        <w:t>PROYECTO DE DECRETO</w:t>
      </w:r>
      <w:bookmarkStart w:id="1" w:name="_Hlk206672456"/>
    </w:p>
    <w:p w14:paraId="2FFB6D98" w14:textId="18FD9FC4" w:rsidR="002B1E0F" w:rsidRPr="0002721C" w:rsidRDefault="0002721C" w:rsidP="0002721C">
      <w:pPr>
        <w:suppressAutoHyphens/>
        <w:spacing w:after="0"/>
        <w:ind w:left="2" w:hangingChars="1" w:hanging="2"/>
        <w:jc w:val="center"/>
        <w:outlineLvl w:val="0"/>
        <w:rPr>
          <w:rFonts w:ascii="Helvetica Neue" w:eastAsia="Arial Unicode MS" w:hAnsi="Helvetica Neue" w:cs="Arial Unicode MS"/>
          <w:position w:val="1"/>
          <w:sz w:val="24"/>
        </w:rPr>
      </w:pPr>
      <w:r w:rsidRPr="0002721C">
        <w:rPr>
          <w:rFonts w:ascii="Helvetica Neue" w:eastAsia="Arial Unicode MS" w:hAnsi="Helvetica Neue" w:cs="Arial Unicode MS"/>
          <w:position w:val="1"/>
          <w:sz w:val="24"/>
        </w:rPr>
        <w:pict w14:anchorId="6A51BF84">
          <v:rect id="_x0000_i1027" style="width:441.9pt;height:1.5pt" o:hralign="center" o:hrstd="t" o:hr="t" fillcolor="#a0a0a0" stroked="f"/>
        </w:pict>
      </w:r>
      <w:bookmarkEnd w:id="1"/>
    </w:p>
    <w:p w14:paraId="2681388D" w14:textId="368BE5CB" w:rsidR="00E53F65" w:rsidRPr="0002721C" w:rsidRDefault="00E53F65" w:rsidP="0002721C">
      <w:pPr>
        <w:pStyle w:val="Sinespaciado"/>
        <w:spacing w:after="100"/>
        <w:jc w:val="right"/>
        <w:rPr>
          <w:rFonts w:ascii="Arial" w:hAnsi="Arial" w:cs="Arial"/>
          <w:sz w:val="24"/>
          <w:szCs w:val="24"/>
          <w:lang w:val="es-AR"/>
        </w:rPr>
      </w:pPr>
      <w:r w:rsidRPr="0002721C">
        <w:rPr>
          <w:rFonts w:ascii="Arial" w:hAnsi="Arial" w:cs="Arial"/>
          <w:sz w:val="24"/>
          <w:szCs w:val="24"/>
          <w:lang w:val="es-AR"/>
        </w:rPr>
        <w:t xml:space="preserve">25 de </w:t>
      </w:r>
      <w:proofErr w:type="gramStart"/>
      <w:r w:rsidRPr="0002721C">
        <w:rPr>
          <w:rFonts w:ascii="Arial" w:hAnsi="Arial" w:cs="Arial"/>
          <w:sz w:val="24"/>
          <w:szCs w:val="24"/>
          <w:lang w:val="es-AR"/>
        </w:rPr>
        <w:t>Mayo</w:t>
      </w:r>
      <w:proofErr w:type="gramEnd"/>
      <w:r w:rsidRPr="0002721C">
        <w:rPr>
          <w:rFonts w:ascii="Arial" w:hAnsi="Arial" w:cs="Arial"/>
          <w:sz w:val="24"/>
          <w:szCs w:val="24"/>
          <w:lang w:val="es-AR"/>
        </w:rPr>
        <w:t xml:space="preserve">, 22 de </w:t>
      </w:r>
      <w:proofErr w:type="gramStart"/>
      <w:r w:rsidRPr="0002721C">
        <w:rPr>
          <w:rFonts w:ascii="Arial" w:hAnsi="Arial" w:cs="Arial"/>
          <w:sz w:val="24"/>
          <w:szCs w:val="24"/>
          <w:lang w:val="es-AR"/>
        </w:rPr>
        <w:t>Septiembre</w:t>
      </w:r>
      <w:proofErr w:type="gramEnd"/>
      <w:r w:rsidRPr="0002721C">
        <w:rPr>
          <w:rFonts w:ascii="Arial" w:hAnsi="Arial" w:cs="Arial"/>
          <w:sz w:val="24"/>
          <w:szCs w:val="24"/>
          <w:lang w:val="es-AR"/>
        </w:rPr>
        <w:t xml:space="preserve"> de 2026</w:t>
      </w:r>
    </w:p>
    <w:p w14:paraId="546E5FD6" w14:textId="77777777" w:rsidR="002B1E0F" w:rsidRPr="0002721C" w:rsidRDefault="002B1E0F" w:rsidP="0002721C">
      <w:pPr>
        <w:pStyle w:val="Sinespaciado"/>
        <w:spacing w:after="100"/>
        <w:rPr>
          <w:rFonts w:ascii="Arial" w:hAnsi="Arial" w:cs="Arial"/>
          <w:sz w:val="24"/>
          <w:szCs w:val="24"/>
          <w:lang w:val="es-AR"/>
        </w:rPr>
      </w:pPr>
    </w:p>
    <w:p w14:paraId="188EBA40" w14:textId="69ED4019" w:rsidR="002B1E0F" w:rsidRPr="0002721C" w:rsidRDefault="002B1E0F" w:rsidP="0002721C">
      <w:pPr>
        <w:spacing w:after="100"/>
        <w:jc w:val="both"/>
        <w:rPr>
          <w:rFonts w:eastAsia="Corsiva" w:cs="Arial"/>
          <w:iCs/>
          <w:color w:val="auto"/>
          <w:sz w:val="24"/>
          <w:szCs w:val="24"/>
        </w:rPr>
      </w:pPr>
      <w:r w:rsidRPr="0002721C">
        <w:rPr>
          <w:rFonts w:eastAsia="Corsiva" w:cs="Arial"/>
          <w:iCs/>
          <w:color w:val="auto"/>
          <w:sz w:val="24"/>
          <w:szCs w:val="24"/>
          <w:u w:val="single"/>
        </w:rPr>
        <w:t xml:space="preserve">Bloque de </w:t>
      </w:r>
      <w:proofErr w:type="gramStart"/>
      <w:r w:rsidRPr="0002721C">
        <w:rPr>
          <w:rFonts w:eastAsia="Corsiva" w:cs="Arial"/>
          <w:iCs/>
          <w:color w:val="auto"/>
          <w:sz w:val="24"/>
          <w:szCs w:val="24"/>
          <w:u w:val="single"/>
        </w:rPr>
        <w:t>Concejales</w:t>
      </w:r>
      <w:proofErr w:type="gramEnd"/>
      <w:r w:rsidRPr="0002721C">
        <w:rPr>
          <w:rFonts w:eastAsia="Corsiva" w:cs="Arial"/>
          <w:iCs/>
          <w:color w:val="auto"/>
          <w:sz w:val="24"/>
          <w:szCs w:val="24"/>
        </w:rPr>
        <w:t xml:space="preserve"> de Partido Justicialista, Unión por la patria, Fuerza Patria y Frente Renovador</w:t>
      </w:r>
      <w:r w:rsidRPr="0002721C">
        <w:rPr>
          <w:rFonts w:eastAsia="Corsiva" w:cs="Arial"/>
          <w:iCs/>
          <w:color w:val="auto"/>
          <w:sz w:val="24"/>
          <w:szCs w:val="24"/>
        </w:rPr>
        <w:t xml:space="preserve"> </w:t>
      </w:r>
      <w:r w:rsidRPr="0002721C">
        <w:rPr>
          <w:rFonts w:eastAsia="Corsiva" w:cs="Arial"/>
          <w:iCs/>
          <w:color w:val="auto"/>
          <w:sz w:val="24"/>
          <w:szCs w:val="24"/>
        </w:rPr>
        <w:t xml:space="preserve">25 de </w:t>
      </w:r>
      <w:proofErr w:type="gramStart"/>
      <w:r w:rsidRPr="0002721C">
        <w:rPr>
          <w:rFonts w:eastAsia="Corsiva" w:cs="Arial"/>
          <w:iCs/>
          <w:color w:val="auto"/>
          <w:sz w:val="24"/>
          <w:szCs w:val="24"/>
        </w:rPr>
        <w:t>Mayo</w:t>
      </w:r>
      <w:proofErr w:type="gramEnd"/>
      <w:r w:rsidRPr="0002721C">
        <w:rPr>
          <w:rFonts w:eastAsia="Corsiva" w:cs="Arial"/>
          <w:iCs/>
          <w:color w:val="auto"/>
          <w:sz w:val="24"/>
          <w:szCs w:val="24"/>
        </w:rPr>
        <w:t>- Buenos Aires</w:t>
      </w:r>
    </w:p>
    <w:p w14:paraId="4663498C" w14:textId="77777777" w:rsidR="00E53F65" w:rsidRPr="0002721C" w:rsidRDefault="00E53F65" w:rsidP="0002721C">
      <w:pPr>
        <w:spacing w:after="100"/>
        <w:jc w:val="both"/>
        <w:rPr>
          <w:rFonts w:cs="Arial"/>
          <w:color w:val="auto"/>
          <w:sz w:val="24"/>
          <w:szCs w:val="24"/>
        </w:rPr>
      </w:pPr>
    </w:p>
    <w:p w14:paraId="53CD21A5" w14:textId="77777777" w:rsidR="0002721C" w:rsidRPr="0002721C" w:rsidRDefault="0002721C" w:rsidP="0002721C">
      <w:pPr>
        <w:spacing w:after="100"/>
        <w:jc w:val="center"/>
        <w:rPr>
          <w:rFonts w:cs="Arial"/>
          <w:b/>
          <w:color w:val="auto"/>
          <w:sz w:val="24"/>
          <w:szCs w:val="24"/>
        </w:rPr>
      </w:pPr>
      <w:r w:rsidRPr="0002721C">
        <w:rPr>
          <w:rFonts w:cs="Arial"/>
          <w:b/>
          <w:sz w:val="24"/>
          <w:szCs w:val="24"/>
        </w:rPr>
        <w:t>PROYECTO DE RESOLUCIÓN</w:t>
      </w:r>
    </w:p>
    <w:p w14:paraId="0AA79AC1" w14:textId="77777777" w:rsidR="00E53F65" w:rsidRPr="0002721C" w:rsidRDefault="00E53F65" w:rsidP="0002721C">
      <w:pPr>
        <w:spacing w:after="100"/>
        <w:jc w:val="both"/>
        <w:rPr>
          <w:rFonts w:cs="Arial"/>
          <w:color w:val="auto"/>
          <w:sz w:val="24"/>
          <w:szCs w:val="24"/>
        </w:rPr>
      </w:pPr>
    </w:p>
    <w:p w14:paraId="63116363" w14:textId="77777777" w:rsidR="0002721C" w:rsidRPr="0002721C" w:rsidRDefault="00F06148" w:rsidP="0002721C">
      <w:pPr>
        <w:spacing w:after="100"/>
        <w:jc w:val="both"/>
        <w:rPr>
          <w:rFonts w:cs="Arial"/>
          <w:b/>
          <w:color w:val="auto"/>
          <w:sz w:val="24"/>
          <w:szCs w:val="24"/>
        </w:rPr>
      </w:pPr>
      <w:r w:rsidRPr="0002721C">
        <w:rPr>
          <w:rFonts w:cs="Arial"/>
          <w:bCs/>
          <w:color w:val="auto"/>
          <w:sz w:val="24"/>
          <w:szCs w:val="24"/>
        </w:rPr>
        <w:t>VISTO:</w:t>
      </w:r>
    </w:p>
    <w:p w14:paraId="118E48CB" w14:textId="6800628D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>Las irregularidades constatadas en la liquidación y cobro de la Tasa por Derecho Ambiental</w:t>
      </w:r>
      <w:r w:rsidR="0002721C">
        <w:rPr>
          <w:rFonts w:cs="Arial"/>
          <w:color w:val="auto"/>
          <w:sz w:val="24"/>
          <w:szCs w:val="24"/>
        </w:rPr>
        <w:t xml:space="preserve"> </w:t>
      </w:r>
      <w:r w:rsidRPr="0002721C">
        <w:rPr>
          <w:rFonts w:cs="Arial"/>
          <w:color w:val="auto"/>
          <w:sz w:val="24"/>
          <w:szCs w:val="24"/>
        </w:rPr>
        <w:t>/</w:t>
      </w:r>
      <w:r w:rsidR="0002721C">
        <w:rPr>
          <w:rFonts w:cs="Arial"/>
          <w:color w:val="auto"/>
          <w:sz w:val="24"/>
          <w:szCs w:val="24"/>
        </w:rPr>
        <w:t xml:space="preserve"> </w:t>
      </w:r>
      <w:r w:rsidRPr="0002721C">
        <w:rPr>
          <w:rFonts w:cs="Arial"/>
          <w:color w:val="auto"/>
          <w:sz w:val="24"/>
          <w:szCs w:val="24"/>
        </w:rPr>
        <w:t xml:space="preserve">Gestión Ambiental en los Ejercicios 2025 y 2026, expuestas en el Informe de Relatoría del Honorable Tribunal de Cuentas de la Provincia de Buenos Aires (Expediente </w:t>
      </w:r>
      <w:proofErr w:type="spellStart"/>
      <w:r w:rsidRPr="0002721C">
        <w:rPr>
          <w:rFonts w:cs="Arial"/>
          <w:color w:val="auto"/>
          <w:sz w:val="24"/>
          <w:szCs w:val="24"/>
        </w:rPr>
        <w:t>N°</w:t>
      </w:r>
      <w:proofErr w:type="spellEnd"/>
      <w:r w:rsidRPr="0002721C">
        <w:rPr>
          <w:rFonts w:cs="Arial"/>
          <w:color w:val="auto"/>
          <w:sz w:val="24"/>
          <w:szCs w:val="24"/>
        </w:rPr>
        <w:t xml:space="preserve"> 3-122.0-2025), y las facultades de fiscalización y control atribuidas a este Honorable Concejo Deliberante por la Ley Orgánica de las Municipalidades; y</w:t>
      </w:r>
    </w:p>
    <w:p w14:paraId="1A8B6040" w14:textId="77777777" w:rsidR="00D9590E" w:rsidRPr="0002721C" w:rsidRDefault="00F06148" w:rsidP="0002721C">
      <w:pPr>
        <w:spacing w:after="100"/>
        <w:jc w:val="both"/>
        <w:rPr>
          <w:rFonts w:cs="Arial"/>
          <w:bCs/>
          <w:color w:val="auto"/>
          <w:sz w:val="24"/>
          <w:szCs w:val="24"/>
        </w:rPr>
      </w:pPr>
      <w:r w:rsidRPr="0002721C">
        <w:rPr>
          <w:rFonts w:cs="Arial"/>
          <w:bCs/>
          <w:color w:val="auto"/>
          <w:sz w:val="24"/>
          <w:szCs w:val="24"/>
        </w:rPr>
        <w:t>CONSIDERANDO:</w:t>
      </w:r>
    </w:p>
    <w:p w14:paraId="6FF83C2E" w14:textId="2D1EB3FE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>Que, conforme surge de las verificaciones de auditoría efectuadas por la Delegación Zonal IX del Honorable Tribunal de Cuentas, la Tasa por Alumbrado, Limpieza y Conservación de la Vía Pública pasó históricamente de una periodicidad bimestral a una liquidación mensual en el ejercicio fiscal 2025.</w:t>
      </w:r>
    </w:p>
    <w:p w14:paraId="2129B51D" w14:textId="37D26824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>Que el concepto tributario correspondiente al Derecho Ambiental</w:t>
      </w:r>
      <w:r w:rsidR="0002721C">
        <w:rPr>
          <w:rFonts w:cs="Arial"/>
          <w:color w:val="auto"/>
          <w:sz w:val="24"/>
          <w:szCs w:val="24"/>
        </w:rPr>
        <w:t xml:space="preserve"> </w:t>
      </w:r>
      <w:r w:rsidRPr="0002721C">
        <w:rPr>
          <w:rFonts w:cs="Arial"/>
          <w:color w:val="auto"/>
          <w:sz w:val="24"/>
          <w:szCs w:val="24"/>
        </w:rPr>
        <w:t>/</w:t>
      </w:r>
      <w:r w:rsidR="0002721C">
        <w:rPr>
          <w:rFonts w:cs="Arial"/>
          <w:color w:val="auto"/>
          <w:sz w:val="24"/>
          <w:szCs w:val="24"/>
        </w:rPr>
        <w:t xml:space="preserve"> </w:t>
      </w:r>
      <w:r w:rsidRPr="0002721C">
        <w:rPr>
          <w:rFonts w:cs="Arial"/>
          <w:color w:val="auto"/>
          <w:sz w:val="24"/>
          <w:szCs w:val="24"/>
        </w:rPr>
        <w:t>Gestión Ambiental se encontraba anexo a la mencionada Tasa por Alumbrado.</w:t>
      </w:r>
    </w:p>
    <w:p w14:paraId="5815CB83" w14:textId="4DC8996F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>Que, al modificarse el esquema de emisión a frecuencia mensual, el Departamento Ejecutivo incurrió en una grave falla técnica y administrativa al liquidar mensualmente el concepto de Derecho Ambiental aplicando el importe completo que legalmente correspondía al tramo bimestral, práctica que se mantuvo e iteró durante todo el Ejercicio 2025 y continuó aplicándose en las emisiones del Ejercicio 2026.</w:t>
      </w:r>
    </w:p>
    <w:p w14:paraId="572D4059" w14:textId="6C315A43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 xml:space="preserve">Que esta deficiencia en la liquidación provocó que a los contribuyentes del Partido de 25 de </w:t>
      </w:r>
      <w:proofErr w:type="gramStart"/>
      <w:r w:rsidRPr="0002721C">
        <w:rPr>
          <w:rFonts w:cs="Arial"/>
          <w:color w:val="auto"/>
          <w:sz w:val="24"/>
          <w:szCs w:val="24"/>
        </w:rPr>
        <w:t>Mayo</w:t>
      </w:r>
      <w:proofErr w:type="gramEnd"/>
      <w:r w:rsidRPr="0002721C">
        <w:rPr>
          <w:rFonts w:cs="Arial"/>
          <w:color w:val="auto"/>
          <w:sz w:val="24"/>
          <w:szCs w:val="24"/>
        </w:rPr>
        <w:t xml:space="preserve"> se les cobrara un importe sustancialmente mayor al autorizado por la Ordenanza Fiscal e Impositiva vigente, constatándose técnicamente el pago en más por parte de los vecinos afectados.</w:t>
      </w:r>
    </w:p>
    <w:p w14:paraId="7E0A756A" w14:textId="5337DEB9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>Que las actuaciones de la Relatoría identificaron la liquidación incorrecta y el cobro indebido en partidas representativas de la Comuna, formulando la correspondiente observación con atribución de responsabilidad prima facie a los funcionarios de las áreas de Hacienda, Ingresos Públicos y Gobierno.</w:t>
      </w:r>
    </w:p>
    <w:p w14:paraId="7247509A" w14:textId="40B04835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>Que el principio de legalidad tributaria consagrado en la Constitución de la Provincia de Buenos Aires y en la Ley Orgánica de las Municipalidades impone que ningún tributo ni tasa puede ser percibido sin el estricto respaldo de una norma que así lo autorice y en la exacta medida fijada por el Poder Legislativo Local.</w:t>
      </w:r>
    </w:p>
    <w:p w14:paraId="34EC0FC5" w14:textId="2E05A634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 xml:space="preserve">Que la percepción de importes superiores a los normativamente previstos configura un cobro </w:t>
      </w:r>
      <w:proofErr w:type="spellStart"/>
      <w:r w:rsidRPr="0002721C">
        <w:rPr>
          <w:rFonts w:cs="Arial"/>
          <w:color w:val="auto"/>
          <w:sz w:val="24"/>
          <w:szCs w:val="24"/>
        </w:rPr>
        <w:t>incausado</w:t>
      </w:r>
      <w:proofErr w:type="spellEnd"/>
      <w:r w:rsidRPr="0002721C">
        <w:rPr>
          <w:rFonts w:cs="Arial"/>
          <w:color w:val="auto"/>
          <w:sz w:val="24"/>
          <w:szCs w:val="24"/>
        </w:rPr>
        <w:t xml:space="preserve"> e ilegítimo que vulnera los derechos patrimoniales de los contribuyentes veinticinqueños.</w:t>
      </w:r>
    </w:p>
    <w:p w14:paraId="5F25BABA" w14:textId="4BF8A512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 xml:space="preserve">Que resulta inadmisible, injusto e inequitativo exigir a los miles de vecinos perjudicados la iniciación de trámites, reclamos o expedientes administrativos individuales para lograr la restitución de sumas que fueron extraídas de sus </w:t>
      </w:r>
      <w:r w:rsidRPr="0002721C">
        <w:rPr>
          <w:rFonts w:cs="Arial"/>
          <w:color w:val="auto"/>
          <w:sz w:val="24"/>
          <w:szCs w:val="24"/>
        </w:rPr>
        <w:lastRenderedPageBreak/>
        <w:t>patrimonios por un error de liquidación imputable de manera exclusiva a la administración municipal.</w:t>
      </w:r>
    </w:p>
    <w:p w14:paraId="45795A52" w14:textId="0DFE8BDF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>Que la restitución de dichos fondos correspondientes tanto al Ejercicio 2025 como al Ejercicio 2026 debe realizarse de oficio, en forma automática, directa y masiva a la totalidad de las partidas afectadas, mediante la acreditación o compensación en las liquidaciones tributarias subsiguientes, adicionando los intereses correspondientes desde la fecha de cada pago indebido.</w:t>
      </w:r>
    </w:p>
    <w:p w14:paraId="5B8AD314" w14:textId="71D54C1D" w:rsidR="00D9590E" w:rsidRPr="0002721C" w:rsidRDefault="00F06148" w:rsidP="0002721C">
      <w:pPr>
        <w:spacing w:after="100"/>
        <w:ind w:firstLine="72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color w:val="auto"/>
          <w:sz w:val="24"/>
          <w:szCs w:val="24"/>
        </w:rPr>
        <w:t>Que, asimismo, corresponde intimar al Departamento Ejecutivo Municipal a que cese de forma inmediata en la aplicación del esquema de liquidación mensual para el concepto de Derecho Ambiental / Gestión Ambiental, absteniéndose de continuar percibiéndolo mensualmente en todas las emisiones tributarias que se liquiden con posterioridad a la sanción de la presente Resolución.</w:t>
      </w:r>
    </w:p>
    <w:p w14:paraId="77D0978E" w14:textId="77777777" w:rsidR="00D9590E" w:rsidRPr="0002721C" w:rsidRDefault="00F06148" w:rsidP="0002721C">
      <w:pPr>
        <w:spacing w:after="100"/>
        <w:jc w:val="both"/>
        <w:rPr>
          <w:rFonts w:cs="Arial"/>
          <w:bCs/>
          <w:color w:val="auto"/>
          <w:sz w:val="24"/>
          <w:szCs w:val="24"/>
        </w:rPr>
      </w:pPr>
      <w:r w:rsidRPr="0002721C">
        <w:rPr>
          <w:rFonts w:cs="Arial"/>
          <w:bCs/>
          <w:color w:val="auto"/>
          <w:sz w:val="24"/>
          <w:szCs w:val="24"/>
        </w:rPr>
        <w:t>POR ELLO, EL HONORABLE CONCEJO DELIBERANTE DE 25 DE MAYO, EN USO DE SUS ATRIBUCIONES, SANCIONA CON FUERZA DE:</w:t>
      </w:r>
    </w:p>
    <w:p w14:paraId="18531501" w14:textId="77777777" w:rsidR="00D9590E" w:rsidRPr="0002721C" w:rsidRDefault="00F06148" w:rsidP="0002721C">
      <w:pPr>
        <w:spacing w:after="100"/>
        <w:jc w:val="center"/>
        <w:rPr>
          <w:rFonts w:cs="Arial"/>
          <w:b/>
          <w:color w:val="auto"/>
          <w:sz w:val="24"/>
          <w:szCs w:val="24"/>
          <w:u w:val="single"/>
        </w:rPr>
      </w:pPr>
      <w:r w:rsidRPr="0002721C">
        <w:rPr>
          <w:rFonts w:cs="Arial"/>
          <w:b/>
          <w:color w:val="auto"/>
          <w:sz w:val="24"/>
          <w:szCs w:val="24"/>
          <w:u w:val="single"/>
        </w:rPr>
        <w:t>RESOLUCIÓN</w:t>
      </w:r>
    </w:p>
    <w:p w14:paraId="019EBEC8" w14:textId="77777777" w:rsidR="002B1E0F" w:rsidRPr="0002721C" w:rsidRDefault="002B1E0F" w:rsidP="0002721C">
      <w:pPr>
        <w:spacing w:after="100"/>
        <w:rPr>
          <w:rFonts w:cs="Arial"/>
          <w:b/>
          <w:color w:val="auto"/>
          <w:sz w:val="24"/>
          <w:szCs w:val="24"/>
          <w:u w:val="single"/>
        </w:rPr>
      </w:pPr>
    </w:p>
    <w:p w14:paraId="465988ED" w14:textId="2E266760" w:rsidR="00D9590E" w:rsidRPr="0002721C" w:rsidRDefault="00F06148" w:rsidP="0002721C">
      <w:pPr>
        <w:spacing w:after="10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b/>
          <w:color w:val="auto"/>
          <w:sz w:val="24"/>
          <w:szCs w:val="24"/>
          <w:u w:val="single"/>
        </w:rPr>
        <w:t>Artículo 1º:</w:t>
      </w:r>
      <w:r w:rsidRPr="0002721C">
        <w:rPr>
          <w:rFonts w:cs="Arial"/>
          <w:color w:val="auto"/>
          <w:sz w:val="24"/>
          <w:szCs w:val="24"/>
        </w:rPr>
        <w:t xml:space="preserve"> SOLICÍTASE al Departamento Ejecutivo Municipal que disponga el reintegro e instrumente la devolución de oficio de la totalidad de las sumas liquidadas y percibidas en exceso durante los Ejercicios Fiscales 2025 y 2026 en concepto de Tasa por Derecho Ambiental / Gestión Ambiental.</w:t>
      </w:r>
    </w:p>
    <w:p w14:paraId="73E6C376" w14:textId="77777777" w:rsidR="00D9590E" w:rsidRPr="0002721C" w:rsidRDefault="00F06148" w:rsidP="0002721C">
      <w:pPr>
        <w:spacing w:after="10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b/>
          <w:color w:val="auto"/>
          <w:sz w:val="24"/>
          <w:szCs w:val="24"/>
          <w:u w:val="single"/>
        </w:rPr>
        <w:t>Artículo 2º:</w:t>
      </w:r>
      <w:r w:rsidRPr="0002721C">
        <w:rPr>
          <w:rFonts w:cs="Arial"/>
          <w:color w:val="auto"/>
          <w:sz w:val="24"/>
          <w:szCs w:val="24"/>
        </w:rPr>
        <w:t xml:space="preserve"> ESTABLÉCESE que la devolución a la que refiere el Artículo 1º deberá efectivizarse de manera automática, masiva e integral a favor de todos los contribuyentes afectados, mediante acreditación directa en cuenta o compensación de saldo a favor en las emisiones de tasas subsiguientes, sin requerir la tramitación de reclamos, peticiones o expedientes individuales por parte de los particulares.</w:t>
      </w:r>
    </w:p>
    <w:p w14:paraId="76E57E20" w14:textId="77777777" w:rsidR="00D9590E" w:rsidRPr="0002721C" w:rsidRDefault="00F06148" w:rsidP="0002721C">
      <w:pPr>
        <w:spacing w:after="10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b/>
          <w:color w:val="auto"/>
          <w:sz w:val="24"/>
          <w:szCs w:val="24"/>
          <w:u w:val="single"/>
        </w:rPr>
        <w:t>Artículo 3º:</w:t>
      </w:r>
      <w:r w:rsidRPr="0002721C">
        <w:rPr>
          <w:rFonts w:cs="Arial"/>
          <w:color w:val="auto"/>
          <w:sz w:val="24"/>
          <w:szCs w:val="24"/>
        </w:rPr>
        <w:t xml:space="preserve"> DISPÓNESE que a los montos percibidos en más durante los Ejercicios 2025 y 2026 se les deberán adicionar los intereses correspondientes calculados desde la fecha de cada pago indebido realizado por el contribuyente hasta el momento de su efectiva devolución o acreditación, aplicando la tasa de interés activa fijada por la reglamentación municipal para deudas tributarias.</w:t>
      </w:r>
    </w:p>
    <w:p w14:paraId="5D247FFE" w14:textId="3E3C490F" w:rsidR="00D9590E" w:rsidRPr="0002721C" w:rsidRDefault="00F06148" w:rsidP="0002721C">
      <w:pPr>
        <w:spacing w:after="10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b/>
          <w:color w:val="auto"/>
          <w:sz w:val="24"/>
          <w:szCs w:val="24"/>
          <w:u w:val="single"/>
        </w:rPr>
        <w:t>Artículo 4º:</w:t>
      </w:r>
      <w:r w:rsidRPr="0002721C">
        <w:rPr>
          <w:rFonts w:cs="Arial"/>
          <w:color w:val="auto"/>
          <w:sz w:val="24"/>
          <w:szCs w:val="24"/>
        </w:rPr>
        <w:t xml:space="preserve"> </w:t>
      </w:r>
      <w:r w:rsidR="009F3D26" w:rsidRPr="0002721C">
        <w:rPr>
          <w:rFonts w:cs="Arial"/>
          <w:color w:val="auto"/>
          <w:sz w:val="24"/>
          <w:szCs w:val="24"/>
        </w:rPr>
        <w:t xml:space="preserve">El </w:t>
      </w:r>
      <w:r w:rsidRPr="0002721C">
        <w:rPr>
          <w:rFonts w:cs="Arial"/>
          <w:color w:val="auto"/>
          <w:sz w:val="24"/>
          <w:szCs w:val="24"/>
        </w:rPr>
        <w:t xml:space="preserve">Departamento Ejecutivo Municipal </w:t>
      </w:r>
      <w:r w:rsidR="009F3D26" w:rsidRPr="0002721C">
        <w:rPr>
          <w:rFonts w:cs="Arial"/>
          <w:color w:val="auto"/>
          <w:sz w:val="24"/>
          <w:szCs w:val="24"/>
        </w:rPr>
        <w:t xml:space="preserve">deberá </w:t>
      </w:r>
      <w:r w:rsidRPr="0002721C">
        <w:rPr>
          <w:rFonts w:cs="Arial"/>
          <w:color w:val="auto"/>
          <w:sz w:val="24"/>
          <w:szCs w:val="24"/>
        </w:rPr>
        <w:t>abst</w:t>
      </w:r>
      <w:r w:rsidR="009F3D26" w:rsidRPr="0002721C">
        <w:rPr>
          <w:rFonts w:cs="Arial"/>
          <w:color w:val="auto"/>
          <w:sz w:val="24"/>
          <w:szCs w:val="24"/>
        </w:rPr>
        <w:t>enerse</w:t>
      </w:r>
      <w:r w:rsidRPr="0002721C">
        <w:rPr>
          <w:rFonts w:cs="Arial"/>
          <w:color w:val="auto"/>
          <w:sz w:val="24"/>
          <w:szCs w:val="24"/>
        </w:rPr>
        <w:t xml:space="preserve"> de manera inmediata de liquidar mensualmente el concepto de Tasa por Derecho Ambiental / Gestión Ambiental en las tasas y emisiones tributarias que se liquiden con posterioridad a la sanción de la presente Resolución, adecuando su periodicidad a los parámetros legales de la Ordenanza Fiscal e Impositiva vigente.</w:t>
      </w:r>
    </w:p>
    <w:p w14:paraId="5C4F228A" w14:textId="77777777" w:rsidR="00D9590E" w:rsidRPr="0002721C" w:rsidRDefault="00F06148" w:rsidP="0002721C">
      <w:pPr>
        <w:spacing w:after="100"/>
        <w:jc w:val="both"/>
        <w:rPr>
          <w:rFonts w:cs="Arial"/>
          <w:color w:val="auto"/>
          <w:sz w:val="24"/>
          <w:szCs w:val="24"/>
        </w:rPr>
      </w:pPr>
      <w:r w:rsidRPr="0002721C">
        <w:rPr>
          <w:rFonts w:cs="Arial"/>
          <w:b/>
          <w:color w:val="auto"/>
          <w:sz w:val="24"/>
          <w:szCs w:val="24"/>
          <w:u w:val="single"/>
        </w:rPr>
        <w:t>Artículo 5º:</w:t>
      </w:r>
      <w:r w:rsidRPr="0002721C">
        <w:rPr>
          <w:rFonts w:cs="Arial"/>
          <w:color w:val="auto"/>
          <w:sz w:val="24"/>
          <w:szCs w:val="24"/>
        </w:rPr>
        <w:t xml:space="preserve"> De forma.</w:t>
      </w:r>
    </w:p>
    <w:p w14:paraId="7A69DF01" w14:textId="77777777" w:rsidR="0002721C" w:rsidRPr="0002721C" w:rsidRDefault="0002721C" w:rsidP="0002721C">
      <w:pPr>
        <w:spacing w:after="100"/>
        <w:jc w:val="both"/>
        <w:rPr>
          <w:rFonts w:cs="Arial"/>
          <w:color w:val="auto"/>
          <w:sz w:val="24"/>
          <w:szCs w:val="24"/>
        </w:rPr>
      </w:pPr>
    </w:p>
    <w:p w14:paraId="1D6DF1EC" w14:textId="77777777" w:rsidR="0002721C" w:rsidRPr="0002721C" w:rsidRDefault="0002721C" w:rsidP="0002721C">
      <w:pPr>
        <w:spacing w:after="100" w:line="240" w:lineRule="auto"/>
        <w:jc w:val="both"/>
        <w:rPr>
          <w:rFonts w:cs="Arial"/>
          <w:sz w:val="24"/>
          <w:szCs w:val="24"/>
        </w:rPr>
      </w:pPr>
      <w:r w:rsidRPr="0002721C">
        <w:rPr>
          <w:rFonts w:cs="Arial"/>
          <w:sz w:val="24"/>
          <w:szCs w:val="24"/>
        </w:rPr>
        <w:t xml:space="preserve">Firman los </w:t>
      </w:r>
      <w:proofErr w:type="gramStart"/>
      <w:r w:rsidRPr="0002721C">
        <w:rPr>
          <w:rFonts w:cs="Arial"/>
          <w:sz w:val="24"/>
          <w:szCs w:val="24"/>
        </w:rPr>
        <w:t>Concejales</w:t>
      </w:r>
      <w:proofErr w:type="gramEnd"/>
      <w:r w:rsidRPr="0002721C">
        <w:rPr>
          <w:rFonts w:cs="Arial"/>
          <w:sz w:val="24"/>
          <w:szCs w:val="24"/>
        </w:rPr>
        <w:t xml:space="preserve">: Galdós Carrizo, Zarza, Brunelli, Méndez, </w:t>
      </w:r>
      <w:proofErr w:type="spellStart"/>
      <w:r w:rsidRPr="0002721C">
        <w:rPr>
          <w:rFonts w:cs="Arial"/>
          <w:sz w:val="24"/>
          <w:szCs w:val="24"/>
        </w:rPr>
        <w:t>Panaccio</w:t>
      </w:r>
      <w:proofErr w:type="spellEnd"/>
      <w:r w:rsidRPr="0002721C">
        <w:rPr>
          <w:rFonts w:cs="Arial"/>
          <w:sz w:val="24"/>
          <w:szCs w:val="24"/>
        </w:rPr>
        <w:t xml:space="preserve"> y Herraiz.</w:t>
      </w:r>
    </w:p>
    <w:p w14:paraId="1DE6AD0C" w14:textId="77777777" w:rsidR="0002721C" w:rsidRPr="0002721C" w:rsidRDefault="0002721C" w:rsidP="0002721C">
      <w:pPr>
        <w:spacing w:after="100" w:line="240" w:lineRule="auto"/>
        <w:jc w:val="both"/>
        <w:rPr>
          <w:rFonts w:cs="Arial"/>
          <w:sz w:val="24"/>
          <w:szCs w:val="24"/>
          <w:lang w:val="en"/>
        </w:rPr>
      </w:pPr>
      <w:r w:rsidRPr="0002721C">
        <w:rPr>
          <w:rFonts w:cs="Arial"/>
          <w:sz w:val="24"/>
          <w:szCs w:val="24"/>
          <w:lang w:val="en-US"/>
        </w:rPr>
        <w:pict w14:anchorId="69953DBA">
          <v:rect id="_x0000_i1044" style="width:441.9pt;height:1.5pt" o:hrstd="t" o:hr="t" fillcolor="#a0a0a0" stroked="f"/>
        </w:pict>
      </w:r>
    </w:p>
    <w:p w14:paraId="0BFF9E07" w14:textId="77777777" w:rsidR="0002721C" w:rsidRPr="0002721C" w:rsidRDefault="0002721C" w:rsidP="0002721C">
      <w:pPr>
        <w:spacing w:after="100"/>
        <w:jc w:val="both"/>
        <w:rPr>
          <w:rFonts w:cs="Arial"/>
          <w:color w:val="auto"/>
          <w:sz w:val="24"/>
          <w:szCs w:val="24"/>
        </w:rPr>
      </w:pPr>
    </w:p>
    <w:sectPr w:rsidR="0002721C" w:rsidRPr="0002721C" w:rsidSect="0002721C">
      <w:headerReference w:type="default" r:id="rId8"/>
      <w:pgSz w:w="12240" w:h="20160" w:code="5"/>
      <w:pgMar w:top="1134" w:right="1077" w:bottom="1134" w:left="25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BC0C3" w14:textId="77777777" w:rsidR="00DD05B6" w:rsidRPr="0002721C" w:rsidRDefault="00DD05B6">
      <w:pPr>
        <w:spacing w:after="0" w:line="240" w:lineRule="auto"/>
      </w:pPr>
      <w:r w:rsidRPr="0002721C">
        <w:separator/>
      </w:r>
    </w:p>
  </w:endnote>
  <w:endnote w:type="continuationSeparator" w:id="0">
    <w:p w14:paraId="5CF3B57E" w14:textId="77777777" w:rsidR="00DD05B6" w:rsidRPr="0002721C" w:rsidRDefault="00DD05B6">
      <w:pPr>
        <w:spacing w:after="0" w:line="240" w:lineRule="auto"/>
      </w:pPr>
      <w:r w:rsidRPr="0002721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siv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C8CA8" w14:textId="77777777" w:rsidR="00DD05B6" w:rsidRPr="0002721C" w:rsidRDefault="00DD05B6">
      <w:pPr>
        <w:spacing w:after="0" w:line="240" w:lineRule="auto"/>
      </w:pPr>
      <w:r w:rsidRPr="0002721C">
        <w:separator/>
      </w:r>
    </w:p>
  </w:footnote>
  <w:footnote w:type="continuationSeparator" w:id="0">
    <w:p w14:paraId="5E8A2D3E" w14:textId="77777777" w:rsidR="00DD05B6" w:rsidRPr="0002721C" w:rsidRDefault="00DD05B6">
      <w:pPr>
        <w:spacing w:after="0" w:line="240" w:lineRule="auto"/>
      </w:pPr>
      <w:r w:rsidRPr="0002721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A67F3" w14:textId="6208DCD3" w:rsidR="00D9590E" w:rsidRPr="0002721C" w:rsidRDefault="00D9590E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8538712">
    <w:abstractNumId w:val="8"/>
  </w:num>
  <w:num w:numId="2" w16cid:durableId="1207327265">
    <w:abstractNumId w:val="6"/>
  </w:num>
  <w:num w:numId="3" w16cid:durableId="357630480">
    <w:abstractNumId w:val="5"/>
  </w:num>
  <w:num w:numId="4" w16cid:durableId="1898592027">
    <w:abstractNumId w:val="4"/>
  </w:num>
  <w:num w:numId="5" w16cid:durableId="1254900281">
    <w:abstractNumId w:val="7"/>
  </w:num>
  <w:num w:numId="6" w16cid:durableId="78216576">
    <w:abstractNumId w:val="3"/>
  </w:num>
  <w:num w:numId="7" w16cid:durableId="1137256002">
    <w:abstractNumId w:val="2"/>
  </w:num>
  <w:num w:numId="8" w16cid:durableId="762847451">
    <w:abstractNumId w:val="1"/>
  </w:num>
  <w:num w:numId="9" w16cid:durableId="355738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721C"/>
    <w:rsid w:val="00034616"/>
    <w:rsid w:val="0006063C"/>
    <w:rsid w:val="000D0CC0"/>
    <w:rsid w:val="0015074B"/>
    <w:rsid w:val="0029639D"/>
    <w:rsid w:val="002B1E0F"/>
    <w:rsid w:val="00326F90"/>
    <w:rsid w:val="00686639"/>
    <w:rsid w:val="008164C9"/>
    <w:rsid w:val="009F3D26"/>
    <w:rsid w:val="00AA1D8D"/>
    <w:rsid w:val="00B47730"/>
    <w:rsid w:val="00CB0664"/>
    <w:rsid w:val="00D9590E"/>
    <w:rsid w:val="00DD05B6"/>
    <w:rsid w:val="00DD2E86"/>
    <w:rsid w:val="00E53F65"/>
    <w:rsid w:val="00F0614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865EB6"/>
  <w14:defaultImageDpi w14:val="300"/>
  <w15:docId w15:val="{FE8128B8-73EA-4A3D-80D9-DF6270D12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color w:val="323232"/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66AAAD1-B330-487C-80C8-DF0D3AF9B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829</Words>
  <Characters>4562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5381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6</cp:revision>
  <cp:lastPrinted>2026-09-22T14:30:00Z</cp:lastPrinted>
  <dcterms:created xsi:type="dcterms:W3CDTF">2026-09-21T22:20:00Z</dcterms:created>
  <dcterms:modified xsi:type="dcterms:W3CDTF">2026-09-25T16:22:00Z</dcterms:modified>
  <cp:category/>
</cp:coreProperties>
</file>